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6BD" w:rsidRPr="00AD66BD" w:rsidRDefault="00AD66BD" w:rsidP="00AD66BD">
      <w:pPr>
        <w:spacing w:after="0" w:line="240" w:lineRule="auto"/>
        <w:rPr>
          <w:rFonts w:ascii="Calibri" w:eastAsia="Times New Roman" w:hAnsi="Calibri" w:cs="Times New Roman"/>
          <w:sz w:val="34"/>
          <w:szCs w:val="34"/>
        </w:rPr>
      </w:pPr>
      <w:bookmarkStart w:id="0" w:name="_GoBack"/>
      <w:bookmarkEnd w:id="0"/>
      <w:r w:rsidRPr="00AD66BD">
        <w:rPr>
          <w:rFonts w:ascii="Calibri" w:eastAsia="Times New Roman" w:hAnsi="Calibri" w:cs="Times New Roman"/>
          <w:sz w:val="34"/>
          <w:szCs w:val="34"/>
        </w:rPr>
        <w:t>January 16 - Lead Team</w:t>
      </w:r>
    </w:p>
    <w:p w:rsidR="00AD66BD" w:rsidRPr="00AD66BD" w:rsidRDefault="00AD66BD" w:rsidP="00AD66BD">
      <w:pPr>
        <w:spacing w:after="0" w:line="240" w:lineRule="auto"/>
        <w:rPr>
          <w:rFonts w:ascii="Calibri" w:eastAsia="Times New Roman" w:hAnsi="Calibri" w:cs="Times New Roman"/>
          <w:color w:val="808080"/>
          <w:sz w:val="20"/>
          <w:szCs w:val="20"/>
        </w:rPr>
      </w:pPr>
      <w:r w:rsidRPr="00AD66BD">
        <w:rPr>
          <w:rFonts w:ascii="Calibri" w:eastAsia="Times New Roman" w:hAnsi="Calibri" w:cs="Times New Roman"/>
          <w:color w:val="808080"/>
          <w:sz w:val="20"/>
          <w:szCs w:val="20"/>
        </w:rPr>
        <w:t>January-16-13</w:t>
      </w:r>
    </w:p>
    <w:p w:rsidR="00AD66BD" w:rsidRPr="00AD66BD" w:rsidRDefault="00AD66BD" w:rsidP="00AD66BD">
      <w:pPr>
        <w:spacing w:after="0" w:line="240" w:lineRule="auto"/>
        <w:rPr>
          <w:rFonts w:ascii="Calibri" w:eastAsia="Times New Roman" w:hAnsi="Calibri" w:cs="Times New Roman"/>
          <w:color w:val="808080"/>
          <w:sz w:val="20"/>
          <w:szCs w:val="20"/>
        </w:rPr>
      </w:pPr>
      <w:r w:rsidRPr="00AD66BD">
        <w:rPr>
          <w:rFonts w:ascii="Calibri" w:eastAsia="Times New Roman" w:hAnsi="Calibri" w:cs="Times New Roman"/>
          <w:color w:val="808080"/>
          <w:sz w:val="20"/>
          <w:szCs w:val="20"/>
        </w:rPr>
        <w:t>8:46 AM</w:t>
      </w:r>
    </w:p>
    <w:p w:rsidR="00AD66BD" w:rsidRPr="00AD66BD" w:rsidRDefault="00AD66BD" w:rsidP="00AD66BD">
      <w:pPr>
        <w:spacing w:after="0" w:line="240" w:lineRule="auto"/>
        <w:rPr>
          <w:rFonts w:ascii="Times New Roman" w:eastAsia="Times New Roman" w:hAnsi="Times New Roman" w:cs="Times New Roman"/>
          <w:sz w:val="24"/>
          <w:szCs w:val="24"/>
        </w:rPr>
      </w:pPr>
    </w:p>
    <w:p w:rsidR="00AD66BD" w:rsidRPr="00AD66BD" w:rsidRDefault="00AD66BD" w:rsidP="00AD66BD">
      <w:pPr>
        <w:spacing w:after="0" w:line="240" w:lineRule="auto"/>
        <w:rPr>
          <w:rFonts w:ascii="Times New Roman" w:eastAsia="Times New Roman" w:hAnsi="Times New Roman" w:cs="Times New Roman"/>
          <w:sz w:val="24"/>
          <w:szCs w:val="24"/>
        </w:rPr>
      </w:pPr>
      <w:r w:rsidRPr="00AD66BD">
        <w:rPr>
          <w:rFonts w:ascii="Times New Roman" w:eastAsia="Times New Roman" w:hAnsi="Times New Roman" w:cs="Times New Roman"/>
          <w:sz w:val="24"/>
          <w:szCs w:val="24"/>
        </w:rPr>
        <w:t> </w:t>
      </w:r>
    </w:p>
    <w:p w:rsidR="00AD66BD" w:rsidRPr="00AD66BD" w:rsidRDefault="00AD66BD" w:rsidP="00AD66BD">
      <w:pPr>
        <w:numPr>
          <w:ilvl w:val="0"/>
          <w:numId w:val="1"/>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Inclusion, Funding etc.</w:t>
      </w:r>
    </w:p>
    <w:p w:rsidR="00AD66BD" w:rsidRPr="00AD66BD" w:rsidRDefault="002068A7"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Pr>
          <w:rFonts w:ascii="Arial" w:eastAsia="Times New Roman" w:hAnsi="Arial" w:cs="Arial"/>
          <w:noProof/>
          <w:color w:val="000000"/>
        </w:rPr>
        <mc:AlternateContent>
          <mc:Choice Requires="wps">
            <w:drawing>
              <wp:anchor distT="0" distB="0" distL="114300" distR="114300" simplePos="0" relativeHeight="251661312" behindDoc="1" locked="0" layoutInCell="1" allowOverlap="1">
                <wp:simplePos x="0" y="0"/>
                <wp:positionH relativeFrom="column">
                  <wp:posOffset>4219575</wp:posOffset>
                </wp:positionH>
                <wp:positionV relativeFrom="paragraph">
                  <wp:posOffset>65405</wp:posOffset>
                </wp:positionV>
                <wp:extent cx="2219325" cy="2028825"/>
                <wp:effectExtent l="9525" t="9525" r="9525" b="9525"/>
                <wp:wrapTight wrapText="bothSides">
                  <wp:wrapPolygon edited="0">
                    <wp:start x="-93" y="-101"/>
                    <wp:lineTo x="-93" y="21499"/>
                    <wp:lineTo x="21693" y="21499"/>
                    <wp:lineTo x="21693" y="-101"/>
                    <wp:lineTo x="-93" y="-101"/>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2028825"/>
                        </a:xfrm>
                        <a:prstGeom prst="rect">
                          <a:avLst/>
                        </a:prstGeom>
                        <a:solidFill>
                          <a:srgbClr val="FFFFFF"/>
                        </a:solidFill>
                        <a:ln w="9525">
                          <a:solidFill>
                            <a:srgbClr val="000000"/>
                          </a:solidFill>
                          <a:miter lim="800000"/>
                          <a:headEnd/>
                          <a:tailEnd/>
                        </a:ln>
                      </wps:spPr>
                      <wps:txbx>
                        <w:txbxContent>
                          <w:p w:rsidR="00410D0C" w:rsidRPr="00410D0C" w:rsidRDefault="00410D0C">
                            <w:pPr>
                              <w:rPr>
                                <w:b/>
                              </w:rPr>
                            </w:pPr>
                            <w:r w:rsidRPr="00410D0C">
                              <w:rPr>
                                <w:b/>
                              </w:rPr>
                              <w:t xml:space="preserve">To Do:  </w:t>
                            </w:r>
                          </w:p>
                          <w:p w:rsidR="00410D0C" w:rsidRDefault="00410D0C" w:rsidP="00410D0C">
                            <w:pPr>
                              <w:pStyle w:val="ListParagraph"/>
                              <w:numPr>
                                <w:ilvl w:val="0"/>
                                <w:numId w:val="13"/>
                              </w:numPr>
                              <w:ind w:left="284" w:hanging="284"/>
                            </w:pPr>
                            <w:r>
                              <w:t>Submit  “Support and Services” worksheet and the “Differential Funding Modifiers” to Emilie/Learning Services</w:t>
                            </w:r>
                          </w:p>
                          <w:p w:rsidR="00410D0C" w:rsidRDefault="00410D0C" w:rsidP="00410D0C">
                            <w:pPr>
                              <w:pStyle w:val="ListParagraph"/>
                              <w:numPr>
                                <w:ilvl w:val="0"/>
                                <w:numId w:val="13"/>
                              </w:numPr>
                              <w:ind w:left="284" w:hanging="284"/>
                            </w:pPr>
                            <w:r>
                              <w:t>Go through “Inclusion in Theory and in Practice” worksheet and submit to Emilie/Learning 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32.25pt;margin-top:5.15pt;width:174.75pt;height:15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">
                <v:textbox>
                  <w:txbxContent>
                    <w:p w:rsidR="00410D0C" w:rsidRPr="00410D0C" w:rsidRDefault="00410D0C">
                      <w:pPr>
                        <w:rPr>
                          <w:b/>
                        </w:rPr>
                      </w:pPr>
                      <w:r w:rsidRPr="00410D0C">
                        <w:rPr>
                          <w:b/>
                        </w:rPr>
                        <w:t xml:space="preserve">To Do:  </w:t>
                      </w:r>
                    </w:p>
                    <w:p w:rsidR="00410D0C" w:rsidRDefault="00410D0C" w:rsidP="00410D0C">
                      <w:pPr>
                        <w:pStyle w:val="ListParagraph"/>
                        <w:numPr>
                          <w:ilvl w:val="0"/>
                          <w:numId w:val="13"/>
                        </w:numPr>
                        <w:ind w:left="284" w:hanging="284"/>
                      </w:pPr>
                      <w:r>
                        <w:t>Submit  “Support and Services” worksheet and the “Differential Funding Modifiers” to Emilie/Learning Services</w:t>
                      </w:r>
                    </w:p>
                    <w:p w:rsidR="00410D0C" w:rsidRDefault="00410D0C" w:rsidP="00410D0C">
                      <w:pPr>
                        <w:pStyle w:val="ListParagraph"/>
                        <w:numPr>
                          <w:ilvl w:val="0"/>
                          <w:numId w:val="13"/>
                        </w:numPr>
                        <w:ind w:left="284" w:hanging="284"/>
                      </w:pPr>
                      <w:r>
                        <w:t>Go through “Inclusion in Theory and in Practice” worksheet and submit to Emilie/Learning Services</w:t>
                      </w:r>
                    </w:p>
                  </w:txbxContent>
                </v:textbox>
                <w10:wrap type="tight"/>
              </v:shape>
            </w:pict>
          </mc:Fallback>
        </mc:AlternateContent>
      </w:r>
      <w:r w:rsidR="00AD66BD" w:rsidRPr="00AD66BD">
        <w:rPr>
          <w:rFonts w:ascii="Arial" w:eastAsia="Times New Roman" w:hAnsi="Arial" w:cs="Arial"/>
          <w:color w:val="000000"/>
        </w:rPr>
        <w:t>More than "sharing air" - least restrictive environment</w:t>
      </w:r>
    </w:p>
    <w:p w:rsidR="00AD66BD" w:rsidRPr="00AD66BD" w:rsidRDefault="00AD66BD"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Universal acceptance of, and belonging for, all students....equitable opportunities:  Diversity is respected</w:t>
      </w:r>
    </w:p>
    <w:p w:rsidR="00AD66BD" w:rsidRPr="00AD66BD" w:rsidRDefault="00AD66BD"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Recognizing that students learn at different rates and in different ways - multiple paths to learning, including students with special learning needs--treating students differently</w:t>
      </w:r>
    </w:p>
    <w:p w:rsidR="00AD66BD" w:rsidRPr="00AD66BD" w:rsidRDefault="00AD66BD"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Access to learner success AND supports and services</w:t>
      </w:r>
    </w:p>
    <w:p w:rsidR="00AD66BD" w:rsidRPr="00AD66BD" w:rsidRDefault="00AD66BD"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A "high responsibility" to act in the best interest of the child - collaborate and work towards compromise with parents</w:t>
      </w:r>
    </w:p>
    <w:p w:rsidR="00AD66BD" w:rsidRPr="001213E9" w:rsidRDefault="00AD66BD" w:rsidP="00AD66BD">
      <w:pPr>
        <w:numPr>
          <w:ilvl w:val="1"/>
          <w:numId w:val="1"/>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Think about preparing the child for independence</w:t>
      </w:r>
    </w:p>
    <w:p w:rsidR="001213E9" w:rsidRPr="00AD66BD" w:rsidRDefault="001213E9" w:rsidP="001213E9">
      <w:pPr>
        <w:spacing w:after="0" w:line="240" w:lineRule="auto"/>
        <w:ind w:left="1080"/>
        <w:textAlignment w:val="center"/>
        <w:rPr>
          <w:rFonts w:ascii="Times New Roman" w:eastAsia="Times New Roman" w:hAnsi="Times New Roman" w:cs="Times New Roman"/>
          <w:color w:val="000000"/>
          <w:sz w:val="24"/>
          <w:szCs w:val="24"/>
        </w:rPr>
      </w:pPr>
    </w:p>
    <w:p w:rsidR="00AD66BD" w:rsidRPr="00AD66BD" w:rsidRDefault="00AD66BD" w:rsidP="00AD66BD">
      <w:pPr>
        <w:numPr>
          <w:ilvl w:val="0"/>
          <w:numId w:val="2"/>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Trustee Linder</w:t>
      </w:r>
    </w:p>
    <w:p w:rsidR="00AD66BD" w:rsidRPr="00AD66BD" w:rsidRDefault="00AD66BD" w:rsidP="00AD66BD">
      <w:pPr>
        <w:numPr>
          <w:ilvl w:val="1"/>
          <w:numId w:val="2"/>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Redoing of PSD 70 boundaries</w:t>
      </w:r>
    </w:p>
    <w:p w:rsidR="00AD66BD" w:rsidRPr="00AD66BD" w:rsidRDefault="00AD66BD" w:rsidP="00AD66BD">
      <w:pPr>
        <w:numPr>
          <w:ilvl w:val="1"/>
          <w:numId w:val="2"/>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Meeting with Minister of Education</w:t>
      </w:r>
    </w:p>
    <w:p w:rsidR="00AD66BD" w:rsidRPr="00AD66BD" w:rsidRDefault="00AD66BD" w:rsidP="00AD66BD">
      <w:pPr>
        <w:spacing w:after="0" w:line="240" w:lineRule="auto"/>
        <w:ind w:left="540"/>
        <w:rPr>
          <w:rFonts w:ascii="Calibri" w:eastAsia="Times New Roman" w:hAnsi="Calibri" w:cs="Times New Roman"/>
        </w:rPr>
      </w:pPr>
      <w:r w:rsidRPr="00AD66BD">
        <w:rPr>
          <w:rFonts w:ascii="Calibri" w:eastAsia="Times New Roman" w:hAnsi="Calibri" w:cs="Times New Roman"/>
        </w:rPr>
        <w:t> </w:t>
      </w:r>
    </w:p>
    <w:p w:rsidR="00AD66BD" w:rsidRPr="00AD66BD" w:rsidRDefault="00AD66BD" w:rsidP="00AD66BD">
      <w:pPr>
        <w:numPr>
          <w:ilvl w:val="0"/>
          <w:numId w:val="3"/>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System Review</w:t>
      </w:r>
    </w:p>
    <w:p w:rsidR="00AD66BD" w:rsidRPr="00AD66BD" w:rsidRDefault="00AD66BD" w:rsidP="00AD66BD">
      <w:pPr>
        <w:numPr>
          <w:ilvl w:val="1"/>
          <w:numId w:val="3"/>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No new information</w:t>
      </w:r>
    </w:p>
    <w:p w:rsidR="00AD66BD" w:rsidRPr="00AD66BD" w:rsidRDefault="00AD66BD" w:rsidP="00AD66BD">
      <w:pPr>
        <w:numPr>
          <w:ilvl w:val="1"/>
          <w:numId w:val="3"/>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Review meeting held at Duffield in November</w:t>
      </w:r>
    </w:p>
    <w:p w:rsidR="00AD66BD" w:rsidRPr="00AD66BD" w:rsidRDefault="00AD66BD" w:rsidP="00AD66BD">
      <w:pPr>
        <w:numPr>
          <w:ilvl w:val="1"/>
          <w:numId w:val="3"/>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 xml:space="preserve">There may be some changes </w:t>
      </w:r>
      <w:r>
        <w:rPr>
          <w:rFonts w:ascii="Arial" w:eastAsia="Times New Roman" w:hAnsi="Arial" w:cs="Arial"/>
          <w:color w:val="000000"/>
        </w:rPr>
        <w:t>later in the year yet</w:t>
      </w:r>
    </w:p>
    <w:p w:rsidR="00AD66BD" w:rsidRPr="00AD66BD" w:rsidRDefault="00AD66BD" w:rsidP="00AD66BD">
      <w:pPr>
        <w:numPr>
          <w:ilvl w:val="1"/>
          <w:numId w:val="3"/>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If your school is full do not accept cross-boundary students</w:t>
      </w:r>
    </w:p>
    <w:p w:rsidR="00AD66BD" w:rsidRPr="00AD66BD" w:rsidRDefault="00AD66BD" w:rsidP="00AD66BD">
      <w:pPr>
        <w:spacing w:after="0" w:line="240" w:lineRule="auto"/>
        <w:ind w:left="540"/>
        <w:rPr>
          <w:rFonts w:ascii="Arial" w:eastAsia="Times New Roman" w:hAnsi="Arial" w:cs="Arial"/>
          <w:color w:val="000000"/>
        </w:rPr>
      </w:pPr>
      <w:r w:rsidRPr="00AD66BD">
        <w:rPr>
          <w:rFonts w:ascii="Arial" w:eastAsia="Times New Roman" w:hAnsi="Arial" w:cs="Arial"/>
          <w:color w:val="000000"/>
        </w:rPr>
        <w:t> </w:t>
      </w:r>
    </w:p>
    <w:p w:rsidR="00AD66BD" w:rsidRPr="00AD66BD" w:rsidRDefault="00AD66BD" w:rsidP="00AD66BD">
      <w:pPr>
        <w:numPr>
          <w:ilvl w:val="0"/>
          <w:numId w:val="4"/>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Health Champions (</w:t>
      </w:r>
      <w:hyperlink r:id="rId6" w:history="1">
        <w:r w:rsidRPr="00AD66BD">
          <w:rPr>
            <w:rFonts w:ascii="Arial" w:eastAsia="Times New Roman" w:hAnsi="Arial" w:cs="Arial"/>
            <w:color w:val="000000"/>
            <w:u w:val="single"/>
          </w:rPr>
          <w:t>Blog</w:t>
        </w:r>
      </w:hyperlink>
      <w:r w:rsidRPr="00AD66BD">
        <w:rPr>
          <w:rFonts w:ascii="Arial" w:eastAsia="Times New Roman" w:hAnsi="Arial" w:cs="Arial"/>
          <w:color w:val="000000"/>
        </w:rPr>
        <w:t>)</w:t>
      </w:r>
    </w:p>
    <w:p w:rsidR="00AD66BD" w:rsidRPr="00AD66BD" w:rsidRDefault="00AD66BD" w:rsidP="00AD66BD">
      <w:pPr>
        <w:numPr>
          <w:ilvl w:val="1"/>
          <w:numId w:val="4"/>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 xml:space="preserve">All schools will be on the blog, </w:t>
      </w:r>
      <w:r>
        <w:rPr>
          <w:rFonts w:ascii="Arial" w:eastAsia="Times New Roman" w:hAnsi="Arial" w:cs="Arial"/>
          <w:color w:val="000000"/>
        </w:rPr>
        <w:t>highlighting</w:t>
      </w:r>
      <w:r w:rsidRPr="00AD66BD">
        <w:rPr>
          <w:rFonts w:ascii="Arial" w:eastAsia="Times New Roman" w:hAnsi="Arial" w:cs="Arial"/>
          <w:color w:val="000000"/>
        </w:rPr>
        <w:t xml:space="preserve"> their resiliency/wellness projects and programs</w:t>
      </w:r>
    </w:p>
    <w:p w:rsidR="00AD66BD" w:rsidRPr="00AD66BD" w:rsidRDefault="00AD66BD" w:rsidP="00AD66BD">
      <w:pPr>
        <w:numPr>
          <w:ilvl w:val="1"/>
          <w:numId w:val="4"/>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Film crew will be coming out to the schools to talk with health champions and maybe some select students etc. to show other jurisdictions what is happening in PSD in regards to resiliency</w:t>
      </w:r>
    </w:p>
    <w:p w:rsidR="00AD66BD" w:rsidRPr="00AD66BD" w:rsidRDefault="00AD66BD" w:rsidP="00AD66BD">
      <w:pPr>
        <w:spacing w:after="0" w:line="240" w:lineRule="auto"/>
        <w:ind w:left="540"/>
        <w:rPr>
          <w:rFonts w:ascii="Arial" w:eastAsia="Times New Roman" w:hAnsi="Arial" w:cs="Arial"/>
          <w:color w:val="000000"/>
        </w:rPr>
      </w:pPr>
      <w:r w:rsidRPr="00AD66BD">
        <w:rPr>
          <w:rFonts w:ascii="Arial" w:eastAsia="Times New Roman" w:hAnsi="Arial" w:cs="Arial"/>
          <w:color w:val="000000"/>
        </w:rPr>
        <w:t> </w:t>
      </w:r>
    </w:p>
    <w:p w:rsidR="00AD66BD" w:rsidRPr="00AD66BD" w:rsidRDefault="00AD66BD" w:rsidP="00AD66BD">
      <w:pPr>
        <w:numPr>
          <w:ilvl w:val="0"/>
          <w:numId w:val="5"/>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Education Act</w:t>
      </w:r>
    </w:p>
    <w:p w:rsidR="00AD66BD" w:rsidRPr="00AD66BD" w:rsidRDefault="002068A7" w:rsidP="00AD66BD">
      <w:pPr>
        <w:numPr>
          <w:ilvl w:val="1"/>
          <w:numId w:val="5"/>
        </w:numPr>
        <w:spacing w:after="0" w:line="240" w:lineRule="auto"/>
        <w:ind w:left="1620"/>
        <w:textAlignment w:val="center"/>
        <w:rPr>
          <w:rFonts w:ascii="Times New Roman" w:eastAsia="Times New Roman" w:hAnsi="Times New Roman" w:cs="Times New Roman"/>
          <w:sz w:val="24"/>
          <w:szCs w:val="24"/>
        </w:rPr>
      </w:pPr>
      <w:hyperlink r:id="rId7" w:history="1">
        <w:r w:rsidR="00AD66BD" w:rsidRPr="00AD66BD">
          <w:rPr>
            <w:rFonts w:ascii="Arial" w:eastAsia="Times New Roman" w:hAnsi="Arial" w:cs="Arial"/>
            <w:b/>
            <w:bCs/>
            <w:color w:val="0000FF"/>
            <w:sz w:val="20"/>
            <w:u w:val="single"/>
          </w:rPr>
          <w:t>Ed Act-CASS-Dec-7-12.pptx</w:t>
        </w:r>
      </w:hyperlink>
    </w:p>
    <w:p w:rsidR="00AD66BD" w:rsidRPr="00AD66BD" w:rsidRDefault="00AD66BD" w:rsidP="00AD66BD">
      <w:pPr>
        <w:spacing w:after="0" w:line="240" w:lineRule="auto"/>
        <w:ind w:left="1620"/>
        <w:rPr>
          <w:rFonts w:ascii="Arial" w:eastAsia="Times New Roman" w:hAnsi="Arial" w:cs="Arial"/>
          <w:b/>
          <w:bCs/>
          <w:sz w:val="20"/>
          <w:szCs w:val="20"/>
        </w:rPr>
      </w:pPr>
      <w:r w:rsidRPr="00AD66BD">
        <w:rPr>
          <w:rFonts w:ascii="Arial" w:eastAsia="Times New Roman" w:hAnsi="Arial" w:cs="Arial"/>
          <w:b/>
          <w:bCs/>
          <w:sz w:val="20"/>
          <w:szCs w:val="20"/>
        </w:rPr>
        <w:t> </w:t>
      </w:r>
    </w:p>
    <w:p w:rsidR="00AD66BD" w:rsidRPr="00AD66BD" w:rsidRDefault="00AD66BD" w:rsidP="00AD66BD">
      <w:pPr>
        <w:numPr>
          <w:ilvl w:val="0"/>
          <w:numId w:val="6"/>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Superintendent Advisory Tea</w:t>
      </w:r>
      <w:r>
        <w:rPr>
          <w:rFonts w:ascii="Arial" w:eastAsia="Times New Roman" w:hAnsi="Arial" w:cs="Arial"/>
          <w:color w:val="000000"/>
        </w:rPr>
        <w:t>m</w:t>
      </w:r>
    </w:p>
    <w:p w:rsidR="00AD66BD" w:rsidRPr="00AD66BD" w:rsidRDefault="00AD66BD" w:rsidP="00AD66BD">
      <w:pPr>
        <w:numPr>
          <w:ilvl w:val="1"/>
          <w:numId w:val="6"/>
        </w:numPr>
        <w:spacing w:after="0" w:line="240" w:lineRule="auto"/>
        <w:textAlignment w:val="center"/>
        <w:rPr>
          <w:rFonts w:ascii="Arial" w:eastAsia="Times New Roman" w:hAnsi="Arial" w:cs="Arial"/>
          <w:color w:val="000000"/>
        </w:rPr>
      </w:pPr>
      <w:r w:rsidRPr="00AD66BD">
        <w:rPr>
          <w:rFonts w:ascii="Arial" w:eastAsia="Times New Roman" w:hAnsi="Arial" w:cs="Arial"/>
          <w:color w:val="000000"/>
        </w:rPr>
        <w:t>Casual custodial and accompanying challenges</w:t>
      </w:r>
    </w:p>
    <w:p w:rsidR="00AD66BD" w:rsidRDefault="00AD66BD" w:rsidP="00AD66BD">
      <w:pPr>
        <w:numPr>
          <w:ilvl w:val="1"/>
          <w:numId w:val="6"/>
        </w:numPr>
        <w:spacing w:after="0" w:line="240" w:lineRule="auto"/>
        <w:textAlignment w:val="center"/>
        <w:rPr>
          <w:rFonts w:ascii="Arial" w:eastAsia="Times New Roman" w:hAnsi="Arial" w:cs="Arial"/>
          <w:color w:val="000000"/>
        </w:rPr>
      </w:pPr>
      <w:r w:rsidRPr="00AD66BD">
        <w:rPr>
          <w:rFonts w:ascii="Arial" w:eastAsia="Times New Roman" w:hAnsi="Arial" w:cs="Arial"/>
          <w:color w:val="000000"/>
        </w:rPr>
        <w:t>Teacher transfers</w:t>
      </w:r>
    </w:p>
    <w:p w:rsidR="00AD66BD" w:rsidRPr="00AD66BD" w:rsidRDefault="00AD66BD" w:rsidP="00AD66BD">
      <w:pPr>
        <w:numPr>
          <w:ilvl w:val="1"/>
          <w:numId w:val="6"/>
        </w:numPr>
        <w:spacing w:after="0" w:line="240" w:lineRule="auto"/>
        <w:textAlignment w:val="center"/>
        <w:rPr>
          <w:rFonts w:ascii="Arial" w:eastAsia="Times New Roman" w:hAnsi="Arial" w:cs="Arial"/>
          <w:color w:val="000000"/>
        </w:rPr>
      </w:pPr>
      <w:r>
        <w:rPr>
          <w:rFonts w:ascii="Arial" w:eastAsia="Times New Roman" w:hAnsi="Arial" w:cs="Arial"/>
          <w:color w:val="000000"/>
        </w:rPr>
        <w:t xml:space="preserve">Admin Procedure 435 – Administrative Evaluative Procedure </w:t>
      </w:r>
      <w:hyperlink r:id="rId8" w:history="1">
        <w:r w:rsidRPr="00A93284">
          <w:rPr>
            <w:rStyle w:val="Hyperlink"/>
            <w:rFonts w:ascii="Arial" w:eastAsia="Times New Roman" w:hAnsi="Arial" w:cs="Arial"/>
          </w:rPr>
          <w:t>http://www.psd70.ab.ca/Documents/400_Personnel_and_Employee_Relations_Administration_Procedures.pdf</w:t>
        </w:r>
      </w:hyperlink>
      <w:r>
        <w:rPr>
          <w:rFonts w:ascii="Arial" w:eastAsia="Times New Roman" w:hAnsi="Arial" w:cs="Arial"/>
          <w:color w:val="000000"/>
        </w:rPr>
        <w:t xml:space="preserve"> </w:t>
      </w:r>
    </w:p>
    <w:p w:rsidR="00AD66BD" w:rsidRPr="00AD66BD" w:rsidRDefault="00AD66BD" w:rsidP="00AD66BD">
      <w:pPr>
        <w:spacing w:after="0" w:line="240" w:lineRule="auto"/>
        <w:ind w:left="540"/>
        <w:rPr>
          <w:rFonts w:ascii="Arial" w:eastAsia="Times New Roman" w:hAnsi="Arial" w:cs="Arial"/>
          <w:color w:val="000000"/>
        </w:rPr>
      </w:pPr>
      <w:r w:rsidRPr="00AD66BD">
        <w:rPr>
          <w:rFonts w:ascii="Arial" w:eastAsia="Times New Roman" w:hAnsi="Arial" w:cs="Arial"/>
          <w:color w:val="000000"/>
        </w:rPr>
        <w:t> </w:t>
      </w:r>
    </w:p>
    <w:p w:rsidR="00AD66BD" w:rsidRPr="00AD66BD" w:rsidRDefault="00AD66BD" w:rsidP="00AD66BD">
      <w:pPr>
        <w:numPr>
          <w:ilvl w:val="0"/>
          <w:numId w:val="7"/>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ET/IT (</w:t>
      </w:r>
      <w:hyperlink r:id="rId9" w:anchor="gid=0" w:history="1">
        <w:r w:rsidRPr="00AD66BD">
          <w:rPr>
            <w:rFonts w:ascii="Arial" w:eastAsia="Times New Roman" w:hAnsi="Arial" w:cs="Arial"/>
            <w:color w:val="000000"/>
            <w:u w:val="single"/>
          </w:rPr>
          <w:t>Please fill out this form</w:t>
        </w:r>
      </w:hyperlink>
      <w:r w:rsidRPr="00AD66BD">
        <w:rPr>
          <w:rFonts w:ascii="Arial" w:eastAsia="Times New Roman" w:hAnsi="Arial" w:cs="Arial"/>
          <w:color w:val="000000"/>
        </w:rPr>
        <w:t>) Short link is </w:t>
      </w:r>
      <w:hyperlink r:id="rId10" w:history="1">
        <w:r w:rsidRPr="00AD66BD">
          <w:rPr>
            <w:rFonts w:ascii="Arial" w:eastAsia="Times New Roman" w:hAnsi="Arial" w:cs="Arial"/>
            <w:color w:val="000000"/>
            <w:sz w:val="20"/>
            <w:u w:val="single"/>
          </w:rPr>
          <w:t>Tech PD Survey</w:t>
        </w:r>
      </w:hyperlink>
    </w:p>
    <w:p w:rsidR="00AD66BD" w:rsidRPr="00AD66BD" w:rsidRDefault="00AD66BD" w:rsidP="00AD66BD">
      <w:pPr>
        <w:numPr>
          <w:ilvl w:val="1"/>
          <w:numId w:val="7"/>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Creating a Google Survey</w:t>
      </w:r>
    </w:p>
    <w:p w:rsidR="00AD66BD" w:rsidRPr="00AD66BD" w:rsidRDefault="00AD66BD" w:rsidP="00AD66BD">
      <w:pPr>
        <w:numPr>
          <w:ilvl w:val="2"/>
          <w:numId w:val="7"/>
        </w:numPr>
        <w:spacing w:after="0" w:line="240" w:lineRule="auto"/>
        <w:ind w:left="162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Google Apps for Education - staff accounts have not been created yet</w:t>
      </w:r>
      <w:r>
        <w:rPr>
          <w:rFonts w:ascii="Arial" w:eastAsia="Times New Roman" w:hAnsi="Arial" w:cs="Arial"/>
          <w:color w:val="000000"/>
        </w:rPr>
        <w:t xml:space="preserve"> (but some people do have them already (psdblogs.ca google accounts)</w:t>
      </w:r>
    </w:p>
    <w:p w:rsidR="00AD66BD" w:rsidRPr="00AD66BD" w:rsidRDefault="002068A7" w:rsidP="00AD66BD">
      <w:pPr>
        <w:numPr>
          <w:ilvl w:val="0"/>
          <w:numId w:val="8"/>
        </w:numPr>
        <w:spacing w:after="0" w:line="240" w:lineRule="auto"/>
        <w:ind w:left="1080"/>
        <w:textAlignment w:val="center"/>
        <w:rPr>
          <w:rFonts w:ascii="Times New Roman" w:eastAsia="Times New Roman" w:hAnsi="Times New Roman" w:cs="Times New Roman"/>
          <w:sz w:val="24"/>
          <w:szCs w:val="24"/>
        </w:rPr>
      </w:pPr>
      <w:hyperlink r:id="rId11" w:history="1">
        <w:r w:rsidR="00AD66BD" w:rsidRPr="00AD66BD">
          <w:rPr>
            <w:rFonts w:ascii="Arial" w:eastAsia="Times New Roman" w:hAnsi="Arial" w:cs="Arial"/>
            <w:color w:val="0000FF"/>
            <w:sz w:val="20"/>
            <w:u w:val="single"/>
          </w:rPr>
          <w:t>Ideas Into Action</w:t>
        </w:r>
      </w:hyperlink>
    </w:p>
    <w:p w:rsidR="00AD66BD" w:rsidRPr="00AD66BD" w:rsidRDefault="00AD66BD" w:rsidP="00AD66BD">
      <w:pPr>
        <w:spacing w:after="0" w:line="240" w:lineRule="auto"/>
        <w:ind w:left="540"/>
        <w:rPr>
          <w:rFonts w:ascii="Arial" w:eastAsia="Times New Roman" w:hAnsi="Arial" w:cs="Arial"/>
          <w:sz w:val="20"/>
          <w:szCs w:val="20"/>
        </w:rPr>
      </w:pPr>
      <w:r w:rsidRPr="00AD66BD">
        <w:rPr>
          <w:rFonts w:ascii="Arial" w:eastAsia="Times New Roman" w:hAnsi="Arial" w:cs="Arial"/>
          <w:sz w:val="20"/>
          <w:szCs w:val="20"/>
        </w:rPr>
        <w:t> </w:t>
      </w:r>
    </w:p>
    <w:p w:rsidR="00AD66BD" w:rsidRPr="00AD66BD" w:rsidRDefault="00AD66BD" w:rsidP="00AD66BD">
      <w:pPr>
        <w:numPr>
          <w:ilvl w:val="0"/>
          <w:numId w:val="9"/>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Updates</w:t>
      </w:r>
    </w:p>
    <w:p w:rsidR="00AD66BD" w:rsidRPr="00AD66BD" w:rsidRDefault="00AD66BD" w:rsidP="00AD66BD">
      <w:pPr>
        <w:numPr>
          <w:ilvl w:val="1"/>
          <w:numId w:val="9"/>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Education Act - Maybe 2015, still have to create the regulations; we are still bound by the current School Act</w:t>
      </w:r>
    </w:p>
    <w:p w:rsidR="00AD66BD" w:rsidRPr="00AD66BD" w:rsidRDefault="00AD66BD" w:rsidP="00AD66BD">
      <w:pPr>
        <w:numPr>
          <w:ilvl w:val="1"/>
          <w:numId w:val="9"/>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Lead Team Retreat - looking inward</w:t>
      </w:r>
    </w:p>
    <w:p w:rsidR="00AD66BD" w:rsidRPr="00AD66BD" w:rsidRDefault="00AD66BD" w:rsidP="00AD66BD">
      <w:pPr>
        <w:numPr>
          <w:ilvl w:val="1"/>
          <w:numId w:val="9"/>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lastRenderedPageBreak/>
        <w:t>"We Day" - student volunteerism and social action; will be talked about at Student Advisory; possible student volunteer trip in the spring of 2014</w:t>
      </w:r>
    </w:p>
    <w:p w:rsidR="00AD66BD" w:rsidRPr="00AD66BD" w:rsidRDefault="00AD66BD" w:rsidP="00AD66BD">
      <w:pPr>
        <w:numPr>
          <w:ilvl w:val="1"/>
          <w:numId w:val="9"/>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HR - Staffing meetings will be happening with Kelly and Margaret; there are provisions for principal initiated transfers between sites</w:t>
      </w:r>
    </w:p>
    <w:p w:rsidR="00AD66BD" w:rsidRPr="00AD66BD" w:rsidRDefault="00AD66BD" w:rsidP="00AD66BD">
      <w:pPr>
        <w:numPr>
          <w:ilvl w:val="1"/>
          <w:numId w:val="9"/>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Jan. 23 PD Session - Garfield Gini-Newman</w:t>
      </w:r>
    </w:p>
    <w:p w:rsidR="00AD66BD" w:rsidRPr="00AD66BD" w:rsidRDefault="00AD66BD" w:rsidP="00AD66BD">
      <w:pPr>
        <w:numPr>
          <w:ilvl w:val="2"/>
          <w:numId w:val="9"/>
        </w:numPr>
        <w:spacing w:after="0" w:line="240" w:lineRule="auto"/>
        <w:ind w:left="162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Connecting assessment with critical thinking</w:t>
      </w:r>
    </w:p>
    <w:p w:rsidR="00AD66BD" w:rsidRPr="00AD66BD" w:rsidRDefault="00AD66BD" w:rsidP="00AD66BD">
      <w:pPr>
        <w:spacing w:after="0" w:line="240" w:lineRule="auto"/>
        <w:ind w:left="1080"/>
        <w:rPr>
          <w:rFonts w:ascii="Arial" w:eastAsia="Times New Roman" w:hAnsi="Arial" w:cs="Arial"/>
          <w:color w:val="000000"/>
        </w:rPr>
      </w:pPr>
      <w:r w:rsidRPr="00AD66BD">
        <w:rPr>
          <w:rFonts w:ascii="Arial" w:eastAsia="Times New Roman" w:hAnsi="Arial" w:cs="Arial"/>
          <w:color w:val="000000"/>
        </w:rPr>
        <w:t> </w:t>
      </w:r>
    </w:p>
    <w:p w:rsidR="00AD66BD" w:rsidRPr="00AD66BD" w:rsidRDefault="00AD66BD" w:rsidP="00AD66BD">
      <w:pPr>
        <w:numPr>
          <w:ilvl w:val="0"/>
          <w:numId w:val="10"/>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Community Meetings and Updates</w:t>
      </w:r>
    </w:p>
    <w:p w:rsidR="00AD66BD" w:rsidRPr="00AD66BD" w:rsidRDefault="002068A7" w:rsidP="00AD66BD">
      <w:pPr>
        <w:numPr>
          <w:ilvl w:val="1"/>
          <w:numId w:val="10"/>
        </w:numPr>
        <w:spacing w:after="0" w:line="240" w:lineRule="auto"/>
        <w:ind w:left="1080"/>
        <w:textAlignment w:val="center"/>
        <w:rPr>
          <w:rFonts w:ascii="Times New Roman" w:eastAsia="Times New Roman" w:hAnsi="Times New Roman" w:cs="Times New Roman"/>
          <w:color w:val="000000"/>
          <w:sz w:val="24"/>
          <w:szCs w:val="24"/>
        </w:rPr>
      </w:pPr>
      <w:r>
        <w:rPr>
          <w:rFonts w:ascii="Arial" w:eastAsia="Times New Roman" w:hAnsi="Arial" w:cs="Arial"/>
          <w:noProof/>
          <w:color w:val="000000"/>
        </w:rPr>
        <mc:AlternateContent>
          <mc:Choice Requires="wps">
            <w:drawing>
              <wp:anchor distT="0" distB="0" distL="114300" distR="114300" simplePos="0" relativeHeight="251662336" behindDoc="1" locked="0" layoutInCell="1" allowOverlap="1">
                <wp:simplePos x="0" y="0"/>
                <wp:positionH relativeFrom="column">
                  <wp:posOffset>4371975</wp:posOffset>
                </wp:positionH>
                <wp:positionV relativeFrom="paragraph">
                  <wp:posOffset>150495</wp:posOffset>
                </wp:positionV>
                <wp:extent cx="2219325" cy="990600"/>
                <wp:effectExtent l="9525" t="9525" r="9525" b="9525"/>
                <wp:wrapTight wrapText="bothSides">
                  <wp:wrapPolygon edited="0">
                    <wp:start x="-93" y="-97"/>
                    <wp:lineTo x="-93" y="21503"/>
                    <wp:lineTo x="21693" y="21503"/>
                    <wp:lineTo x="21693" y="-97"/>
                    <wp:lineTo x="-93" y="-97"/>
                  </wp:wrapPolygon>
                </wp:wrapTigh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990600"/>
                        </a:xfrm>
                        <a:prstGeom prst="rect">
                          <a:avLst/>
                        </a:prstGeom>
                        <a:solidFill>
                          <a:srgbClr val="FFFFFF"/>
                        </a:solidFill>
                        <a:ln w="9525">
                          <a:solidFill>
                            <a:srgbClr val="000000"/>
                          </a:solidFill>
                          <a:miter lim="800000"/>
                          <a:headEnd/>
                          <a:tailEnd/>
                        </a:ln>
                      </wps:spPr>
                      <wps:txbx>
                        <w:txbxContent>
                          <w:p w:rsidR="00410D0C" w:rsidRPr="00410D0C" w:rsidRDefault="00410D0C" w:rsidP="00410D0C">
                            <w:pPr>
                              <w:rPr>
                                <w:b/>
                              </w:rPr>
                            </w:pPr>
                            <w:r w:rsidRPr="00410D0C">
                              <w:rPr>
                                <w:b/>
                              </w:rPr>
                              <w:t xml:space="preserve">To Do:  </w:t>
                            </w:r>
                          </w:p>
                          <w:p w:rsidR="00410D0C" w:rsidRDefault="00410D0C" w:rsidP="00410D0C">
                            <w:pPr>
                              <w:pStyle w:val="ListParagraph"/>
                              <w:numPr>
                                <w:ilvl w:val="0"/>
                                <w:numId w:val="13"/>
                              </w:numPr>
                              <w:ind w:left="284" w:hanging="284"/>
                            </w:pPr>
                            <w:r>
                              <w:t xml:space="preserve">Remember to email Tim if you are out of the division </w:t>
                            </w:r>
                          </w:p>
                          <w:p w:rsidR="00410D0C" w:rsidRDefault="00410D0C" w:rsidP="00410D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44.25pt;margin-top:11.85pt;width:174.75pt;height:7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">
                <v:textbox>
                  <w:txbxContent>
                    <w:p w:rsidR="00410D0C" w:rsidRPr="00410D0C" w:rsidRDefault="00410D0C" w:rsidP="00410D0C">
                      <w:pPr>
                        <w:rPr>
                          <w:b/>
                        </w:rPr>
                      </w:pPr>
                      <w:r w:rsidRPr="00410D0C">
                        <w:rPr>
                          <w:b/>
                        </w:rPr>
                        <w:t xml:space="preserve">To Do:  </w:t>
                      </w:r>
                    </w:p>
                    <w:p w:rsidR="00410D0C" w:rsidRDefault="00410D0C" w:rsidP="00410D0C">
                      <w:pPr>
                        <w:pStyle w:val="ListParagraph"/>
                        <w:numPr>
                          <w:ilvl w:val="0"/>
                          <w:numId w:val="13"/>
                        </w:numPr>
                        <w:ind w:left="284" w:hanging="284"/>
                      </w:pPr>
                      <w:r>
                        <w:t xml:space="preserve">Remember to email Tim if you are out of the division </w:t>
                      </w:r>
                    </w:p>
                    <w:p w:rsidR="00410D0C" w:rsidRDefault="00410D0C" w:rsidP="00410D0C"/>
                  </w:txbxContent>
                </v:textbox>
                <w10:wrap type="tight"/>
              </v:shape>
            </w:pict>
          </mc:Fallback>
        </mc:AlternateContent>
      </w:r>
      <w:r w:rsidR="00AD66BD" w:rsidRPr="00AD66BD">
        <w:rPr>
          <w:rFonts w:ascii="Arial" w:eastAsia="Times New Roman" w:hAnsi="Arial" w:cs="Arial"/>
          <w:color w:val="000000"/>
        </w:rPr>
        <w:t>A - technology, teacher absences; counselling</w:t>
      </w:r>
    </w:p>
    <w:p w:rsidR="00AD66BD" w:rsidRPr="00AD66BD" w:rsidRDefault="00AD66BD" w:rsidP="00AD66BD">
      <w:pPr>
        <w:numPr>
          <w:ilvl w:val="1"/>
          <w:numId w:val="10"/>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B - ECS Open Houses in early April; April 5 - X-Boundary; absences; breakfast programs</w:t>
      </w:r>
    </w:p>
    <w:p w:rsidR="00AD66BD" w:rsidRPr="00AD66BD" w:rsidRDefault="00AD66BD" w:rsidP="00AD66BD">
      <w:pPr>
        <w:numPr>
          <w:ilvl w:val="1"/>
          <w:numId w:val="10"/>
        </w:numPr>
        <w:spacing w:after="0" w:line="240" w:lineRule="auto"/>
        <w:ind w:left="108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C - Report Cards (common language and understanding, parents may not be clear on the language either); booking Horizon Stage (Darlene can help, talk to St. Andrew's United Church about parking); Ryan is going to try to simplify the attendance reports to more easily calculate 15%; School Council and volunteerism; space usage and constraints; vandalism and RCMP response time</w:t>
      </w:r>
    </w:p>
    <w:p w:rsidR="00AD66BD" w:rsidRPr="00AD66BD" w:rsidRDefault="00AD66BD" w:rsidP="00AD66BD">
      <w:pPr>
        <w:spacing w:after="0" w:line="240" w:lineRule="auto"/>
        <w:ind w:left="540"/>
        <w:rPr>
          <w:rFonts w:ascii="Arial" w:eastAsia="Times New Roman" w:hAnsi="Arial" w:cs="Arial"/>
          <w:color w:val="000000"/>
        </w:rPr>
      </w:pPr>
      <w:r w:rsidRPr="00AD66BD">
        <w:rPr>
          <w:rFonts w:ascii="Arial" w:eastAsia="Times New Roman" w:hAnsi="Arial" w:cs="Arial"/>
          <w:color w:val="000000"/>
        </w:rPr>
        <w:t> </w:t>
      </w:r>
    </w:p>
    <w:p w:rsidR="00AD66BD" w:rsidRPr="00AD66BD" w:rsidRDefault="00AD66BD" w:rsidP="00AD66BD">
      <w:pPr>
        <w:numPr>
          <w:ilvl w:val="0"/>
          <w:numId w:val="11"/>
        </w:numPr>
        <w:spacing w:after="0" w:line="240" w:lineRule="auto"/>
        <w:ind w:left="540"/>
        <w:textAlignment w:val="center"/>
        <w:rPr>
          <w:rFonts w:ascii="Times New Roman" w:eastAsia="Times New Roman" w:hAnsi="Times New Roman" w:cs="Times New Roman"/>
          <w:color w:val="000000"/>
          <w:sz w:val="24"/>
          <w:szCs w:val="24"/>
        </w:rPr>
      </w:pPr>
      <w:r w:rsidRPr="00AD66BD">
        <w:rPr>
          <w:rFonts w:ascii="Arial" w:eastAsia="Times New Roman" w:hAnsi="Arial" w:cs="Arial"/>
          <w:color w:val="000000"/>
        </w:rPr>
        <w:t>Dialogue with Senior Executive</w:t>
      </w:r>
    </w:p>
    <w:p w:rsidR="001B08D9" w:rsidRDefault="001B08D9"/>
    <w:p w:rsidR="00AD66BD" w:rsidRDefault="002068A7">
      <w:r>
        <w:rPr>
          <w:noProof/>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938530</wp:posOffset>
                </wp:positionV>
                <wp:extent cx="2647950" cy="189547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895475"/>
                        </a:xfrm>
                        <a:prstGeom prst="rect">
                          <a:avLst/>
                        </a:prstGeom>
                        <a:solidFill>
                          <a:srgbClr val="FFFFFF"/>
                        </a:solidFill>
                        <a:ln w="9525">
                          <a:solidFill>
                            <a:srgbClr val="000000"/>
                          </a:solidFill>
                          <a:miter lim="800000"/>
                          <a:headEnd/>
                          <a:tailEnd/>
                        </a:ln>
                      </wps:spPr>
                      <wps:txbx>
                        <w:txbxContent>
                          <w:p w:rsidR="00410D0C" w:rsidRPr="00AD66BD" w:rsidRDefault="00410D0C" w:rsidP="00AD66BD">
                            <w:pPr>
                              <w:spacing w:after="0" w:line="240" w:lineRule="auto"/>
                              <w:ind w:left="373"/>
                              <w:rPr>
                                <w:rFonts w:ascii="Constantia" w:eastAsia="Times New Roman" w:hAnsi="Constantia" w:cs="Times New Roman"/>
                                <w:b/>
                                <w:bCs/>
                                <w:color w:val="000000"/>
                                <w:sz w:val="18"/>
                                <w:szCs w:val="18"/>
                                <w:u w:val="single"/>
                              </w:rPr>
                            </w:pPr>
                            <w:r w:rsidRPr="00AD66BD">
                              <w:rPr>
                                <w:rFonts w:ascii="Constantia" w:eastAsia="Times New Roman" w:hAnsi="Constantia" w:cs="Times New Roman"/>
                                <w:b/>
                                <w:bCs/>
                                <w:color w:val="000000"/>
                                <w:sz w:val="18"/>
                                <w:szCs w:val="18"/>
                                <w:u w:val="single"/>
                              </w:rPr>
                              <w:t>Inclusive Education</w:t>
                            </w:r>
                          </w:p>
                          <w:p w:rsidR="00410D0C" w:rsidRPr="00AD66BD" w:rsidRDefault="00410D0C" w:rsidP="00AD66BD">
                            <w:pPr>
                              <w:spacing w:after="0" w:line="240" w:lineRule="auto"/>
                              <w:ind w:left="373"/>
                              <w:rPr>
                                <w:rFonts w:ascii="Constantia" w:eastAsia="Times New Roman" w:hAnsi="Constantia" w:cs="Times New Roman"/>
                                <w:b/>
                                <w:bCs/>
                                <w:color w:val="000000"/>
                                <w:sz w:val="18"/>
                                <w:szCs w:val="18"/>
                                <w:u w:val="single"/>
                              </w:rPr>
                            </w:pPr>
                            <w:r w:rsidRPr="00AD66BD">
                              <w:rPr>
                                <w:rFonts w:ascii="Constantia" w:eastAsia="Times New Roman" w:hAnsi="Constantia" w:cs="Times New Roman"/>
                                <w:b/>
                                <w:bCs/>
                                <w:color w:val="000000"/>
                                <w:sz w:val="18"/>
                                <w:szCs w:val="18"/>
                                <w:u w:val="single"/>
                              </w:rPr>
                              <w:t> </w:t>
                            </w:r>
                          </w:p>
                          <w:p w:rsidR="00410D0C" w:rsidRPr="00AD66BD" w:rsidRDefault="00410D0C" w:rsidP="002A7FAD">
                            <w:pPr>
                              <w:spacing w:after="0" w:line="240" w:lineRule="auto"/>
                              <w:ind w:left="373"/>
                              <w:textAlignment w:val="center"/>
                              <w:rPr>
                                <w:rFonts w:ascii="Calibri" w:eastAsia="Times New Roman" w:hAnsi="Calibri" w:cs="Times New Roman"/>
                                <w:color w:val="0BD0D9"/>
                                <w:sz w:val="18"/>
                                <w:szCs w:val="18"/>
                              </w:rPr>
                            </w:pPr>
                            <w:r w:rsidRPr="00AD66BD">
                              <w:rPr>
                                <w:rFonts w:ascii="Constantia" w:eastAsia="Times New Roman" w:hAnsi="Constantia" w:cs="Times New Roman"/>
                                <w:color w:val="000000"/>
                                <w:sz w:val="18"/>
                                <w:szCs w:val="18"/>
                              </w:rPr>
                              <w:t xml:space="preserve">A way of thinking and acting that demonstrates universal acceptance of, and belonging for, all students. Inclusive education in Alberta means a value-based approach to accepting responsibility for all students. It also means that all students will have equitable opportunity to be included in the typical learning environment or program of choice. </w:t>
                            </w:r>
                          </w:p>
                          <w:p w:rsidR="00410D0C" w:rsidRPr="00AD66BD" w:rsidRDefault="00410D0C" w:rsidP="00AD66BD">
                            <w:pPr>
                              <w:numPr>
                                <w:ilvl w:val="1"/>
                                <w:numId w:val="12"/>
                              </w:numPr>
                              <w:spacing w:after="0" w:line="240" w:lineRule="auto"/>
                              <w:ind w:left="913"/>
                              <w:textAlignment w:val="center"/>
                              <w:rPr>
                                <w:rFonts w:ascii="Calibri" w:eastAsia="Times New Roman" w:hAnsi="Calibri" w:cs="Times New Roman"/>
                                <w:color w:val="000000"/>
                                <w:sz w:val="18"/>
                                <w:szCs w:val="18"/>
                              </w:rPr>
                            </w:pPr>
                            <w:r w:rsidRPr="00AD66BD">
                              <w:rPr>
                                <w:rFonts w:ascii="Constantia" w:eastAsia="Times New Roman" w:hAnsi="Constantia" w:cs="Times New Roman"/>
                                <w:i/>
                                <w:iCs/>
                                <w:color w:val="000000"/>
                                <w:sz w:val="18"/>
                                <w:szCs w:val="18"/>
                              </w:rPr>
                              <w:t>Alberta Education 2009</w:t>
                            </w:r>
                          </w:p>
                          <w:p w:rsidR="00410D0C" w:rsidRDefault="00410D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pt;margin-top:73.9pt;width:208.5pt;height:14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">
                <v:textbox>
                  <w:txbxContent>
                    <w:p w:rsidR="00410D0C" w:rsidRPr="00AD66BD" w:rsidRDefault="00410D0C" w:rsidP="00AD66BD">
                      <w:pPr>
                        <w:spacing w:after="0" w:line="240" w:lineRule="auto"/>
                        <w:ind w:left="373"/>
                        <w:rPr>
                          <w:rFonts w:ascii="Constantia" w:eastAsia="Times New Roman" w:hAnsi="Constantia" w:cs="Times New Roman"/>
                          <w:b/>
                          <w:bCs/>
                          <w:color w:val="000000"/>
                          <w:sz w:val="18"/>
                          <w:szCs w:val="18"/>
                          <w:u w:val="single"/>
                        </w:rPr>
                      </w:pPr>
                      <w:r w:rsidRPr="00AD66BD">
                        <w:rPr>
                          <w:rFonts w:ascii="Constantia" w:eastAsia="Times New Roman" w:hAnsi="Constantia" w:cs="Times New Roman"/>
                          <w:b/>
                          <w:bCs/>
                          <w:color w:val="000000"/>
                          <w:sz w:val="18"/>
                          <w:szCs w:val="18"/>
                          <w:u w:val="single"/>
                        </w:rPr>
                        <w:t>Inclusive Education</w:t>
                      </w:r>
                    </w:p>
                    <w:p w:rsidR="00410D0C" w:rsidRPr="00AD66BD" w:rsidRDefault="00410D0C" w:rsidP="00AD66BD">
                      <w:pPr>
                        <w:spacing w:after="0" w:line="240" w:lineRule="auto"/>
                        <w:ind w:left="373"/>
                        <w:rPr>
                          <w:rFonts w:ascii="Constantia" w:eastAsia="Times New Roman" w:hAnsi="Constantia" w:cs="Times New Roman"/>
                          <w:b/>
                          <w:bCs/>
                          <w:color w:val="000000"/>
                          <w:sz w:val="18"/>
                          <w:szCs w:val="18"/>
                          <w:u w:val="single"/>
                        </w:rPr>
                      </w:pPr>
                      <w:r w:rsidRPr="00AD66BD">
                        <w:rPr>
                          <w:rFonts w:ascii="Constantia" w:eastAsia="Times New Roman" w:hAnsi="Constantia" w:cs="Times New Roman"/>
                          <w:b/>
                          <w:bCs/>
                          <w:color w:val="000000"/>
                          <w:sz w:val="18"/>
                          <w:szCs w:val="18"/>
                          <w:u w:val="single"/>
                        </w:rPr>
                        <w:t> </w:t>
                      </w:r>
                    </w:p>
                    <w:p w:rsidR="00410D0C" w:rsidRPr="00AD66BD" w:rsidRDefault="00410D0C" w:rsidP="002A7FAD">
                      <w:pPr>
                        <w:spacing w:after="0" w:line="240" w:lineRule="auto"/>
                        <w:ind w:left="373"/>
                        <w:textAlignment w:val="center"/>
                        <w:rPr>
                          <w:rFonts w:ascii="Calibri" w:eastAsia="Times New Roman" w:hAnsi="Calibri" w:cs="Times New Roman"/>
                          <w:color w:val="0BD0D9"/>
                          <w:sz w:val="18"/>
                          <w:szCs w:val="18"/>
                        </w:rPr>
                      </w:pPr>
                      <w:r w:rsidRPr="00AD66BD">
                        <w:rPr>
                          <w:rFonts w:ascii="Constantia" w:eastAsia="Times New Roman" w:hAnsi="Constantia" w:cs="Times New Roman"/>
                          <w:color w:val="000000"/>
                          <w:sz w:val="18"/>
                          <w:szCs w:val="18"/>
                        </w:rPr>
                        <w:t xml:space="preserve">A way of thinking and acting that demonstrates universal acceptance of, and belonging for, all students. Inclusive education in Alberta means a value-based approach to accepting responsibility for all students. It also means that all students will have equitable opportunity to be included in the typical learning environment or program of choice. </w:t>
                      </w:r>
                    </w:p>
                    <w:p w:rsidR="00410D0C" w:rsidRPr="00AD66BD" w:rsidRDefault="00410D0C" w:rsidP="00AD66BD">
                      <w:pPr>
                        <w:numPr>
                          <w:ilvl w:val="1"/>
                          <w:numId w:val="12"/>
                        </w:numPr>
                        <w:spacing w:after="0" w:line="240" w:lineRule="auto"/>
                        <w:ind w:left="913"/>
                        <w:textAlignment w:val="center"/>
                        <w:rPr>
                          <w:rFonts w:ascii="Calibri" w:eastAsia="Times New Roman" w:hAnsi="Calibri" w:cs="Times New Roman"/>
                          <w:color w:val="000000"/>
                          <w:sz w:val="18"/>
                          <w:szCs w:val="18"/>
                        </w:rPr>
                      </w:pPr>
                      <w:r w:rsidRPr="00AD66BD">
                        <w:rPr>
                          <w:rFonts w:ascii="Constantia" w:eastAsia="Times New Roman" w:hAnsi="Constantia" w:cs="Times New Roman"/>
                          <w:i/>
                          <w:iCs/>
                          <w:color w:val="000000"/>
                          <w:sz w:val="18"/>
                          <w:szCs w:val="18"/>
                        </w:rPr>
                        <w:t>Alberta Education 2009</w:t>
                      </w:r>
                    </w:p>
                    <w:p w:rsidR="00410D0C" w:rsidRDefault="00410D0C"/>
                  </w:txbxContent>
                </v:textbox>
              </v:shape>
            </w:pict>
          </mc:Fallback>
        </mc:AlternateContent>
      </w:r>
      <w:r w:rsidR="00AD66BD">
        <w:rPr>
          <w:noProof/>
        </w:rPr>
        <w:drawing>
          <wp:anchor distT="0" distB="0" distL="114300" distR="114300" simplePos="0" relativeHeight="251659264" behindDoc="1" locked="0" layoutInCell="1" allowOverlap="1">
            <wp:simplePos x="0" y="0"/>
            <wp:positionH relativeFrom="column">
              <wp:posOffset>-381000</wp:posOffset>
            </wp:positionH>
            <wp:positionV relativeFrom="paragraph">
              <wp:posOffset>14605</wp:posOffset>
            </wp:positionV>
            <wp:extent cx="4128770" cy="4733925"/>
            <wp:effectExtent l="19050" t="0" r="5080" b="0"/>
            <wp:wrapTight wrapText="bothSides">
              <wp:wrapPolygon edited="0">
                <wp:start x="-100" y="0"/>
                <wp:lineTo x="-100" y="21557"/>
                <wp:lineTo x="21627" y="21557"/>
                <wp:lineTo x="21627" y="0"/>
                <wp:lineTo x="-100" y="0"/>
              </wp:wrapPolygon>
            </wp:wrapTight>
            <wp:docPr id="2" name="Picture 1" descr="C:\Users\APETER~1\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ETER~1\AppData\Local\Temp\msohtmlclip1\01\clip_image001.png"/>
                    <pic:cNvPicPr>
                      <a:picLocks noChangeAspect="1" noChangeArrowheads="1"/>
                    </pic:cNvPicPr>
                  </pic:nvPicPr>
                  <pic:blipFill>
                    <a:blip r:embed="rId12" cstate="print"/>
                    <a:srcRect/>
                    <a:stretch>
                      <a:fillRect/>
                    </a:stretch>
                  </pic:blipFill>
                  <pic:spPr bwMode="auto">
                    <a:xfrm>
                      <a:off x="0" y="0"/>
                      <a:ext cx="4128770" cy="4733925"/>
                    </a:xfrm>
                    <a:prstGeom prst="rect">
                      <a:avLst/>
                    </a:prstGeom>
                    <a:noFill/>
                    <a:ln w="9525">
                      <a:noFill/>
                      <a:miter lim="800000"/>
                      <a:headEnd/>
                      <a:tailEnd/>
                    </a:ln>
                  </pic:spPr>
                </pic:pic>
              </a:graphicData>
            </a:graphic>
          </wp:anchor>
        </w:drawing>
      </w:r>
    </w:p>
    <w:sectPr w:rsidR="00AD66BD" w:rsidSect="001213E9">
      <w:pgSz w:w="12240" w:h="15840"/>
      <w:pgMar w:top="709"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BD21301_"/>
      </v:shape>
    </w:pict>
  </w:numPicBullet>
  <w:abstractNum w:abstractNumId="0">
    <w:nsid w:val="0DDD02F5"/>
    <w:multiLevelType w:val="multilevel"/>
    <w:tmpl w:val="63C4C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F02756"/>
    <w:multiLevelType w:val="multilevel"/>
    <w:tmpl w:val="87880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002E1B"/>
    <w:multiLevelType w:val="multilevel"/>
    <w:tmpl w:val="07022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DA20ED"/>
    <w:multiLevelType w:val="multilevel"/>
    <w:tmpl w:val="C0D08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5335B6C"/>
    <w:multiLevelType w:val="multilevel"/>
    <w:tmpl w:val="0CA4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7F3778"/>
    <w:multiLevelType w:val="multilevel"/>
    <w:tmpl w:val="83143A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157423"/>
    <w:multiLevelType w:val="multilevel"/>
    <w:tmpl w:val="49827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44752A5"/>
    <w:multiLevelType w:val="multilevel"/>
    <w:tmpl w:val="B1EC59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B159A0"/>
    <w:multiLevelType w:val="hybridMultilevel"/>
    <w:tmpl w:val="3E1C01D2"/>
    <w:lvl w:ilvl="0" w:tplc="BAF27F9A">
      <w:start w:val="1"/>
      <w:numFmt w:val="bullet"/>
      <w:lvlText w:val=""/>
      <w:lvlPicBulletId w:val="0"/>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B1F50E2"/>
    <w:multiLevelType w:val="multilevel"/>
    <w:tmpl w:val="73805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37637CD"/>
    <w:multiLevelType w:val="multilevel"/>
    <w:tmpl w:val="D3C84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86D351C"/>
    <w:multiLevelType w:val="multilevel"/>
    <w:tmpl w:val="42D8AD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7DA2028A"/>
    <w:multiLevelType w:val="multilevel"/>
    <w:tmpl w:val="17462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 w:numId="4">
    <w:abstractNumId w:val="3"/>
  </w:num>
  <w:num w:numId="5">
    <w:abstractNumId w:val="10"/>
  </w:num>
  <w:num w:numId="6">
    <w:abstractNumId w:val="5"/>
  </w:num>
  <w:num w:numId="7">
    <w:abstractNumId w:val="12"/>
  </w:num>
  <w:num w:numId="8">
    <w:abstractNumId w:val="11"/>
  </w:num>
  <w:num w:numId="9">
    <w:abstractNumId w:val="6"/>
  </w:num>
  <w:num w:numId="10">
    <w:abstractNumId w:val="9"/>
  </w:num>
  <w:num w:numId="11">
    <w:abstractNumId w:val="4"/>
  </w:num>
  <w:num w:numId="12">
    <w:abstractNumId w:val="7"/>
    <w:lvlOverride w:ilvl="0">
      <w:lvl w:ilvl="0">
        <w:numFmt w:val="bullet"/>
        <w:lvlText w:val=""/>
        <w:lvlJc w:val="left"/>
        <w:pPr>
          <w:tabs>
            <w:tab w:val="num" w:pos="720"/>
          </w:tabs>
          <w:ind w:left="720" w:hanging="360"/>
        </w:pPr>
        <w:rPr>
          <w:rFonts w:ascii="Symbol" w:hAnsi="Symbol" w:hint="default"/>
          <w:sz w:val="20"/>
        </w:rPr>
      </w:lvl>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6BD"/>
    <w:rsid w:val="001213E9"/>
    <w:rsid w:val="001B08D9"/>
    <w:rsid w:val="002068A7"/>
    <w:rsid w:val="002A7FAD"/>
    <w:rsid w:val="00410D0C"/>
    <w:rsid w:val="00542219"/>
    <w:rsid w:val="006B01B7"/>
    <w:rsid w:val="00992488"/>
    <w:rsid w:val="00AD66BD"/>
    <w:rsid w:val="00CD33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66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D66BD"/>
    <w:rPr>
      <w:color w:val="0000FF"/>
      <w:u w:val="single"/>
    </w:rPr>
  </w:style>
  <w:style w:type="paragraph" w:styleId="BalloonText">
    <w:name w:val="Balloon Text"/>
    <w:basedOn w:val="Normal"/>
    <w:link w:val="BalloonTextChar"/>
    <w:uiPriority w:val="99"/>
    <w:semiHidden/>
    <w:unhideWhenUsed/>
    <w:rsid w:val="00AD6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6BD"/>
    <w:rPr>
      <w:rFonts w:ascii="Tahoma" w:hAnsi="Tahoma" w:cs="Tahoma"/>
      <w:sz w:val="16"/>
      <w:szCs w:val="16"/>
    </w:rPr>
  </w:style>
  <w:style w:type="paragraph" w:styleId="ListParagraph">
    <w:name w:val="List Paragraph"/>
    <w:basedOn w:val="Normal"/>
    <w:uiPriority w:val="34"/>
    <w:qFormat/>
    <w:rsid w:val="00410D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66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D66BD"/>
    <w:rPr>
      <w:color w:val="0000FF"/>
      <w:u w:val="single"/>
    </w:rPr>
  </w:style>
  <w:style w:type="paragraph" w:styleId="BalloonText">
    <w:name w:val="Balloon Text"/>
    <w:basedOn w:val="Normal"/>
    <w:link w:val="BalloonTextChar"/>
    <w:uiPriority w:val="99"/>
    <w:semiHidden/>
    <w:unhideWhenUsed/>
    <w:rsid w:val="00AD6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6BD"/>
    <w:rPr>
      <w:rFonts w:ascii="Tahoma" w:hAnsi="Tahoma" w:cs="Tahoma"/>
      <w:sz w:val="16"/>
      <w:szCs w:val="16"/>
    </w:rPr>
  </w:style>
  <w:style w:type="paragraph" w:styleId="ListParagraph">
    <w:name w:val="List Paragraph"/>
    <w:basedOn w:val="Normal"/>
    <w:uiPriority w:val="34"/>
    <w:qFormat/>
    <w:rsid w:val="00410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135096">
      <w:bodyDiv w:val="1"/>
      <w:marLeft w:val="0"/>
      <w:marRight w:val="0"/>
      <w:marTop w:val="0"/>
      <w:marBottom w:val="0"/>
      <w:divBdr>
        <w:top w:val="none" w:sz="0" w:space="0" w:color="auto"/>
        <w:left w:val="none" w:sz="0" w:space="0" w:color="auto"/>
        <w:bottom w:val="none" w:sz="0" w:space="0" w:color="auto"/>
        <w:right w:val="none" w:sz="0" w:space="0" w:color="auto"/>
      </w:divBdr>
    </w:div>
    <w:div w:id="1131903189">
      <w:bodyDiv w:val="1"/>
      <w:marLeft w:val="0"/>
      <w:marRight w:val="0"/>
      <w:marTop w:val="0"/>
      <w:marBottom w:val="0"/>
      <w:divBdr>
        <w:top w:val="none" w:sz="0" w:space="0" w:color="auto"/>
        <w:left w:val="none" w:sz="0" w:space="0" w:color="auto"/>
        <w:bottom w:val="none" w:sz="0" w:space="0" w:color="auto"/>
        <w:right w:val="none" w:sz="0" w:space="0" w:color="auto"/>
      </w:divBdr>
    </w:div>
    <w:div w:id="19853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d70.ab.ca/Documents/400_Personnel_and_Employee_Relations_Administration_Procedures.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eadteam-psd70.wikispaces.com/file/view/Ed%20Act-CASS-Dec-7-12.pptx/397760950/Ed%20Act-CASS-Dec-7-12.pptx"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sdblogs.ca/fochs/" TargetMode="External"/><Relationship Id="rId11" Type="http://schemas.openxmlformats.org/officeDocument/2006/relationships/hyperlink" Target="http://georgecouros.ca/blog/archives/3489" TargetMode="External"/><Relationship Id="rId5" Type="http://schemas.openxmlformats.org/officeDocument/2006/relationships/webSettings" Target="webSettings.xml"/><Relationship Id="rId10" Type="http://schemas.openxmlformats.org/officeDocument/2006/relationships/hyperlink" Target="http://bit.ly/ITLsurvey" TargetMode="External"/><Relationship Id="rId4" Type="http://schemas.openxmlformats.org/officeDocument/2006/relationships/settings" Target="settings.xml"/><Relationship Id="rId9" Type="http://schemas.openxmlformats.org/officeDocument/2006/relationships/hyperlink" Target="https://docs.google.com/a/psdblogs.ca/spreadsheet/viewform?formkey=dDZmejRHMUhKRy1wMlBYVEpTVkEwU2c6MQ"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PSD 70</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apeterson</dc:creator>
  <cp:lastModifiedBy>Leah Andrews</cp:lastModifiedBy>
  <cp:revision>2</cp:revision>
  <dcterms:created xsi:type="dcterms:W3CDTF">2013-01-18T16:49:00Z</dcterms:created>
  <dcterms:modified xsi:type="dcterms:W3CDTF">2013-01-18T16:49:00Z</dcterms:modified>
</cp:coreProperties>
</file>